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919AA" w14:textId="57F07A0A" w:rsidR="00014862" w:rsidRPr="003346BE" w:rsidRDefault="00014862" w:rsidP="00014862">
      <w:pPr>
        <w:spacing w:after="0" w:line="240" w:lineRule="auto"/>
        <w:jc w:val="center"/>
        <w:rPr>
          <w:b/>
          <w:sz w:val="24"/>
        </w:rPr>
      </w:pPr>
      <w:bookmarkStart w:id="0" w:name="_GoBack"/>
      <w:bookmarkEnd w:id="0"/>
      <w:r>
        <w:rPr>
          <w:b/>
          <w:sz w:val="24"/>
        </w:rPr>
        <w:t xml:space="preserve"> School</w:t>
      </w:r>
    </w:p>
    <w:p w14:paraId="422A61B4" w14:textId="77777777" w:rsidR="00014862" w:rsidRDefault="00F51B7D" w:rsidP="00014862">
      <w:pPr>
        <w:spacing w:after="0" w:line="240" w:lineRule="auto"/>
        <w:jc w:val="center"/>
        <w:rPr>
          <w:b/>
          <w:sz w:val="24"/>
        </w:rPr>
      </w:pPr>
      <w:r>
        <w:rPr>
          <w:b/>
          <w:sz w:val="24"/>
        </w:rPr>
        <w:t xml:space="preserve">Community </w:t>
      </w:r>
      <w:r w:rsidR="00014862" w:rsidRPr="003346BE">
        <w:rPr>
          <w:b/>
          <w:sz w:val="24"/>
        </w:rPr>
        <w:t xml:space="preserve">School Progress </w:t>
      </w:r>
      <w:r>
        <w:rPr>
          <w:b/>
          <w:sz w:val="24"/>
        </w:rPr>
        <w:t>Summary</w:t>
      </w:r>
      <w:r w:rsidR="00014862" w:rsidRPr="003346BE">
        <w:rPr>
          <w:b/>
          <w:sz w:val="24"/>
        </w:rPr>
        <w:t xml:space="preserve"> 2019-2020</w:t>
      </w:r>
    </w:p>
    <w:p w14:paraId="6EF31326" w14:textId="77777777" w:rsidR="00014862" w:rsidRPr="003346BE" w:rsidRDefault="00014862" w:rsidP="00014862">
      <w:pPr>
        <w:spacing w:after="0" w:line="240" w:lineRule="auto"/>
        <w:jc w:val="center"/>
        <w:rPr>
          <w:b/>
          <w:sz w:val="24"/>
        </w:rPr>
      </w:pPr>
      <w:r>
        <w:rPr>
          <w:b/>
          <w:sz w:val="24"/>
        </w:rPr>
        <w:t>Principal</w:t>
      </w:r>
    </w:p>
    <w:p w14:paraId="7E32940F" w14:textId="77777777" w:rsidR="00014862" w:rsidRPr="00F5285F" w:rsidRDefault="00014862" w:rsidP="00014862">
      <w:pPr>
        <w:spacing w:after="0" w:line="240" w:lineRule="auto"/>
        <w:rPr>
          <w:b/>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F5285F" w14:paraId="10911AF2" w14:textId="77777777" w:rsidTr="00536254">
        <w:tc>
          <w:tcPr>
            <w:tcW w:w="4642" w:type="dxa"/>
          </w:tcPr>
          <w:p w14:paraId="7566FC02" w14:textId="77777777" w:rsidR="00014862" w:rsidRPr="00385BCD" w:rsidRDefault="00014862" w:rsidP="00536254">
            <w:r>
              <w:rPr>
                <w:b/>
              </w:rPr>
              <w:t xml:space="preserve">BCPS </w:t>
            </w:r>
            <w:r w:rsidRPr="00F5285F">
              <w:rPr>
                <w:b/>
              </w:rPr>
              <w:t>Vision:</w:t>
            </w:r>
            <w:r>
              <w:rPr>
                <w:b/>
              </w:rPr>
              <w:t xml:space="preserve"> </w:t>
            </w:r>
            <w:r>
              <w:t>Baltimore County Public Schools will be among the highest performing school systems in the nation as a result of creating, sustaining, and investing in excellence for every student, every school, and every community.</w:t>
            </w:r>
          </w:p>
          <w:p w14:paraId="0ADEBC9C" w14:textId="77777777" w:rsidR="00014862" w:rsidRPr="00F5285F" w:rsidRDefault="00014862" w:rsidP="00536254">
            <w:pPr>
              <w:rPr>
                <w:b/>
              </w:rPr>
            </w:pPr>
          </w:p>
        </w:tc>
        <w:tc>
          <w:tcPr>
            <w:tcW w:w="4642" w:type="dxa"/>
          </w:tcPr>
          <w:p w14:paraId="5341E99B" w14:textId="39D6AEAF" w:rsidR="000352F6" w:rsidRPr="000352F6" w:rsidRDefault="00014862" w:rsidP="00536254">
            <w:r w:rsidRPr="00F5285F">
              <w:rPr>
                <w:b/>
              </w:rPr>
              <w:t>School Mission:</w:t>
            </w:r>
            <w:r>
              <w:rPr>
                <w:b/>
              </w:rPr>
              <w:t xml:space="preserve"> </w:t>
            </w:r>
            <w:r w:rsidR="000352F6">
              <w:rPr>
                <w:b/>
              </w:rPr>
              <w:t xml:space="preserve">  </w:t>
            </w:r>
            <w:r w:rsidR="000352F6" w:rsidRPr="000352F6">
              <w:t xml:space="preserve">Provide a safe and supportive environment that promotes appreciation and respect for diversity.  We challenge our students to become active learners and critical thinkers, and foster the development of scholarship, leadership, and integrity. </w:t>
            </w:r>
          </w:p>
          <w:p w14:paraId="33185F63" w14:textId="77777777" w:rsidR="000352F6" w:rsidRPr="000352F6" w:rsidRDefault="000352F6" w:rsidP="00536254"/>
          <w:p w14:paraId="48760302" w14:textId="73850D2F" w:rsidR="00014862" w:rsidRPr="000352F6" w:rsidRDefault="000352F6" w:rsidP="00536254">
            <w:r w:rsidRPr="000352F6">
              <w:t>All individuals</w:t>
            </w:r>
            <w:r>
              <w:t xml:space="preserve"> at Towson High School</w:t>
            </w:r>
            <w:r w:rsidRPr="000352F6">
              <w:t xml:space="preserve"> will achieve intellectual and social appreciation, approval, and acceptance</w:t>
            </w:r>
            <w:r>
              <w:t>.</w:t>
            </w:r>
          </w:p>
          <w:p w14:paraId="21E31294" w14:textId="77777777" w:rsidR="000352F6" w:rsidRDefault="000352F6" w:rsidP="00536254"/>
          <w:p w14:paraId="1DF66518" w14:textId="725E2CA1" w:rsidR="000352F6" w:rsidRPr="00385BCD" w:rsidRDefault="000352F6" w:rsidP="00536254"/>
        </w:tc>
      </w:tr>
      <w:tr w:rsidR="00014862" w:rsidRPr="00F5285F" w14:paraId="481979BA" w14:textId="77777777" w:rsidTr="00536254">
        <w:tc>
          <w:tcPr>
            <w:tcW w:w="9284" w:type="dxa"/>
            <w:gridSpan w:val="2"/>
            <w:shd w:val="clear" w:color="auto" w:fill="D9D9D9" w:themeFill="background1" w:themeFillShade="D9"/>
          </w:tcPr>
          <w:p w14:paraId="29C3657F" w14:textId="77777777" w:rsidR="00014862" w:rsidRPr="00CE15EB" w:rsidRDefault="00014862" w:rsidP="00536254">
            <w:pPr>
              <w:jc w:val="center"/>
              <w:rPr>
                <w:b/>
                <w:sz w:val="24"/>
              </w:rPr>
            </w:pPr>
            <w:r w:rsidRPr="003346BE">
              <w:rPr>
                <w:b/>
                <w:sz w:val="24"/>
              </w:rPr>
              <w:t>Literacy</w:t>
            </w:r>
          </w:p>
        </w:tc>
      </w:tr>
      <w:tr w:rsidR="00014862" w:rsidRPr="00F5285F" w14:paraId="59DC5F72" w14:textId="77777777" w:rsidTr="00536254">
        <w:tc>
          <w:tcPr>
            <w:tcW w:w="9284" w:type="dxa"/>
            <w:gridSpan w:val="2"/>
          </w:tcPr>
          <w:p w14:paraId="145F9E14" w14:textId="77777777" w:rsidR="00014862" w:rsidRPr="00014862" w:rsidRDefault="00014862" w:rsidP="00536254"/>
          <w:p w14:paraId="33402003" w14:textId="77777777" w:rsidR="00014862" w:rsidRPr="00014862" w:rsidRDefault="00014862" w:rsidP="00536254">
            <w:pPr>
              <w:jc w:val="center"/>
            </w:pPr>
            <w:r w:rsidRPr="00014862">
              <w:t xml:space="preserve">Goal: All students will achieve </w:t>
            </w:r>
            <w:r w:rsidR="00AB4674">
              <w:t>CC</w:t>
            </w:r>
            <w:r w:rsidR="007B5CC5">
              <w:t>R standards for Evidenced Based Reading and Writing.</w:t>
            </w:r>
          </w:p>
          <w:p w14:paraId="3E18D627" w14:textId="77777777" w:rsidR="00014862" w:rsidRPr="00014862" w:rsidRDefault="00014862" w:rsidP="00536254">
            <w:pPr>
              <w:rPr>
                <w:b/>
              </w:rPr>
            </w:pPr>
          </w:p>
        </w:tc>
      </w:tr>
      <w:tr w:rsidR="00014862" w:rsidRPr="00F5285F" w14:paraId="5FC1BED4" w14:textId="77777777" w:rsidTr="00536254">
        <w:tc>
          <w:tcPr>
            <w:tcW w:w="4642" w:type="dxa"/>
          </w:tcPr>
          <w:p w14:paraId="76468AFA" w14:textId="77777777" w:rsidR="00014862" w:rsidRPr="00F5285F" w:rsidRDefault="00014862" w:rsidP="00536254">
            <w:pPr>
              <w:jc w:val="center"/>
              <w:rPr>
                <w:b/>
              </w:rPr>
            </w:pPr>
            <w:r w:rsidRPr="00F5285F">
              <w:rPr>
                <w:b/>
              </w:rPr>
              <w:t>Raise the Bar</w:t>
            </w:r>
          </w:p>
        </w:tc>
        <w:tc>
          <w:tcPr>
            <w:tcW w:w="4642" w:type="dxa"/>
          </w:tcPr>
          <w:p w14:paraId="0B4E8E9C" w14:textId="77777777" w:rsidR="00014862" w:rsidRPr="00F5285F" w:rsidRDefault="00014862" w:rsidP="00536254">
            <w:pPr>
              <w:jc w:val="center"/>
              <w:rPr>
                <w:b/>
              </w:rPr>
            </w:pPr>
            <w:r w:rsidRPr="00F5285F">
              <w:rPr>
                <w:b/>
              </w:rPr>
              <w:t>Close the Gap</w:t>
            </w:r>
          </w:p>
        </w:tc>
      </w:tr>
      <w:tr w:rsidR="00014862" w:rsidRPr="00F5285F" w14:paraId="77CF6C71" w14:textId="77777777" w:rsidTr="00536254">
        <w:tc>
          <w:tcPr>
            <w:tcW w:w="4642" w:type="dxa"/>
          </w:tcPr>
          <w:p w14:paraId="505DEA64" w14:textId="50040031" w:rsidR="000969A7" w:rsidRPr="00DC2812" w:rsidRDefault="00014862" w:rsidP="000969A7">
            <w:r>
              <w:rPr>
                <w:b/>
              </w:rPr>
              <w:t>Instructional Focus:</w:t>
            </w:r>
            <w:r w:rsidR="000969A7">
              <w:rPr>
                <w:b/>
              </w:rPr>
              <w:t xml:space="preserve">  </w:t>
            </w:r>
            <w:r w:rsidR="000969A7" w:rsidRPr="000969A7">
              <w:t xml:space="preserve">We </w:t>
            </w:r>
            <w:r w:rsidR="000969A7" w:rsidRPr="00DC2812">
              <w:t xml:space="preserve">will infuse opportunities for students to cite textual evidence when writing, answering questions, and </w:t>
            </w:r>
            <w:r w:rsidR="000352F6">
              <w:t>discussing</w:t>
            </w:r>
            <w:r w:rsidR="000969A7" w:rsidRPr="00DC2812">
              <w:t xml:space="preserve"> different texts.</w:t>
            </w:r>
          </w:p>
          <w:p w14:paraId="26C2A1C9" w14:textId="03FB0791" w:rsidR="00014862" w:rsidRPr="006E5BD8" w:rsidRDefault="00014862" w:rsidP="00014862">
            <w:pPr>
              <w:rPr>
                <w:b/>
              </w:rPr>
            </w:pPr>
          </w:p>
          <w:p w14:paraId="13C55C89" w14:textId="77777777" w:rsidR="00014862" w:rsidRDefault="00014862" w:rsidP="00014862">
            <w:pPr>
              <w:rPr>
                <w:b/>
              </w:rPr>
            </w:pPr>
          </w:p>
          <w:p w14:paraId="157BB64F" w14:textId="77777777" w:rsidR="00014862" w:rsidRDefault="00014862" w:rsidP="00014862">
            <w:pPr>
              <w:rPr>
                <w:b/>
              </w:rPr>
            </w:pPr>
          </w:p>
          <w:p w14:paraId="460DB390" w14:textId="77777777" w:rsidR="00014862" w:rsidRPr="00F5285F" w:rsidRDefault="00014862" w:rsidP="00014862">
            <w:pPr>
              <w:rPr>
                <w:b/>
              </w:rPr>
            </w:pPr>
          </w:p>
        </w:tc>
        <w:tc>
          <w:tcPr>
            <w:tcW w:w="4642" w:type="dxa"/>
          </w:tcPr>
          <w:p w14:paraId="0BACD46B" w14:textId="4532B34C" w:rsidR="000969A7" w:rsidRDefault="00014862" w:rsidP="000969A7">
            <w:r>
              <w:rPr>
                <w:b/>
              </w:rPr>
              <w:t>Instructional Focus:</w:t>
            </w:r>
            <w:r w:rsidR="000969A7">
              <w:rPr>
                <w:b/>
              </w:rPr>
              <w:t xml:space="preserve">  </w:t>
            </w:r>
            <w:r w:rsidR="000969A7" w:rsidRPr="000969A7">
              <w:t>We</w:t>
            </w:r>
            <w:r w:rsidR="000969A7" w:rsidRPr="00DC2812">
              <w:t xml:space="preserve"> will monitor student learning periodically to inform instructional decisions</w:t>
            </w:r>
            <w:r w:rsidR="000969A7">
              <w:t xml:space="preserve">, </w:t>
            </w:r>
            <w:r w:rsidR="000969A7" w:rsidRPr="00DC2812">
              <w:t>such as collaborative group formation, lesson pacing, content for reviewing /reteaching and supplemental intervention needs.</w:t>
            </w:r>
          </w:p>
          <w:p w14:paraId="16AE845D" w14:textId="4DF35912" w:rsidR="00014862" w:rsidRPr="006E5BD8" w:rsidRDefault="00014862" w:rsidP="00014862">
            <w:pPr>
              <w:rPr>
                <w:b/>
              </w:rPr>
            </w:pPr>
          </w:p>
          <w:p w14:paraId="4018B096" w14:textId="77777777" w:rsidR="00014862" w:rsidRDefault="00014862" w:rsidP="00014862">
            <w:pPr>
              <w:rPr>
                <w:b/>
              </w:rPr>
            </w:pPr>
          </w:p>
          <w:p w14:paraId="0E3B4B4E" w14:textId="77777777" w:rsidR="00014862" w:rsidRDefault="00014862" w:rsidP="00014862">
            <w:pPr>
              <w:rPr>
                <w:b/>
              </w:rPr>
            </w:pPr>
          </w:p>
          <w:p w14:paraId="13C49687" w14:textId="77777777" w:rsidR="00014862" w:rsidRPr="00F5285F" w:rsidRDefault="00014862" w:rsidP="00014862">
            <w:pPr>
              <w:rPr>
                <w:b/>
              </w:rPr>
            </w:pPr>
          </w:p>
        </w:tc>
      </w:tr>
      <w:tr w:rsidR="00014862" w:rsidRPr="00F5285F" w14:paraId="2CC3887C" w14:textId="77777777" w:rsidTr="00536254">
        <w:tc>
          <w:tcPr>
            <w:tcW w:w="9284" w:type="dxa"/>
            <w:gridSpan w:val="2"/>
            <w:shd w:val="clear" w:color="auto" w:fill="D9D9D9" w:themeFill="background1" w:themeFillShade="D9"/>
          </w:tcPr>
          <w:p w14:paraId="6B801C1E" w14:textId="77777777" w:rsidR="00014862" w:rsidRPr="00CE15EB" w:rsidRDefault="00014862" w:rsidP="00014862">
            <w:pPr>
              <w:jc w:val="center"/>
              <w:rPr>
                <w:b/>
                <w:sz w:val="24"/>
              </w:rPr>
            </w:pPr>
            <w:r w:rsidRPr="003346BE">
              <w:rPr>
                <w:b/>
                <w:sz w:val="24"/>
              </w:rPr>
              <w:t>Math</w:t>
            </w:r>
          </w:p>
        </w:tc>
      </w:tr>
      <w:tr w:rsidR="00014862" w:rsidRPr="00F5285F" w14:paraId="533218A6" w14:textId="77777777" w:rsidTr="00014862">
        <w:tc>
          <w:tcPr>
            <w:tcW w:w="9284" w:type="dxa"/>
            <w:gridSpan w:val="2"/>
            <w:shd w:val="clear" w:color="auto" w:fill="auto"/>
          </w:tcPr>
          <w:p w14:paraId="6457D1F0" w14:textId="77777777" w:rsidR="00014862" w:rsidRPr="00014862" w:rsidRDefault="00014862" w:rsidP="00014862">
            <w:pPr>
              <w:jc w:val="center"/>
            </w:pPr>
          </w:p>
          <w:p w14:paraId="181DDCAD" w14:textId="77777777" w:rsidR="007B5CC5" w:rsidRPr="00014862" w:rsidRDefault="007B5CC5" w:rsidP="007B5CC5">
            <w:pPr>
              <w:jc w:val="center"/>
            </w:pPr>
            <w:r w:rsidRPr="00014862">
              <w:t xml:space="preserve">Goal: All students will achieve </w:t>
            </w:r>
            <w:r>
              <w:t>CCR standards for Evidenced Based Mathematics.</w:t>
            </w:r>
          </w:p>
          <w:p w14:paraId="4CA78F52" w14:textId="77777777" w:rsidR="00014862" w:rsidRPr="00014862" w:rsidRDefault="00014862" w:rsidP="00014862">
            <w:pPr>
              <w:jc w:val="center"/>
              <w:rPr>
                <w:b/>
              </w:rPr>
            </w:pPr>
          </w:p>
        </w:tc>
      </w:tr>
      <w:tr w:rsidR="00014862" w:rsidRPr="00F5285F" w14:paraId="2394EA39" w14:textId="77777777" w:rsidTr="00536254">
        <w:tc>
          <w:tcPr>
            <w:tcW w:w="4642" w:type="dxa"/>
          </w:tcPr>
          <w:p w14:paraId="43E88CAB" w14:textId="77777777" w:rsidR="00014862" w:rsidRPr="00F5285F" w:rsidRDefault="00014862" w:rsidP="00014862">
            <w:pPr>
              <w:jc w:val="center"/>
              <w:rPr>
                <w:b/>
              </w:rPr>
            </w:pPr>
            <w:r w:rsidRPr="00F5285F">
              <w:rPr>
                <w:b/>
              </w:rPr>
              <w:t>Raise the Bar</w:t>
            </w:r>
          </w:p>
        </w:tc>
        <w:tc>
          <w:tcPr>
            <w:tcW w:w="4642" w:type="dxa"/>
          </w:tcPr>
          <w:p w14:paraId="4B695955" w14:textId="77777777" w:rsidR="00014862" w:rsidRPr="00F5285F" w:rsidRDefault="00014862" w:rsidP="00014862">
            <w:pPr>
              <w:jc w:val="center"/>
              <w:rPr>
                <w:b/>
              </w:rPr>
            </w:pPr>
            <w:r w:rsidRPr="00F5285F">
              <w:rPr>
                <w:b/>
              </w:rPr>
              <w:t>Close the Gap</w:t>
            </w:r>
          </w:p>
        </w:tc>
      </w:tr>
      <w:tr w:rsidR="00014862" w:rsidRPr="00F5285F" w14:paraId="494F2F0F" w14:textId="77777777" w:rsidTr="00536254">
        <w:tc>
          <w:tcPr>
            <w:tcW w:w="4642" w:type="dxa"/>
          </w:tcPr>
          <w:p w14:paraId="22EA461B" w14:textId="44884246" w:rsidR="00AB5F19" w:rsidRPr="006E5BD8" w:rsidRDefault="00014862" w:rsidP="00014862">
            <w:pPr>
              <w:rPr>
                <w:b/>
              </w:rPr>
            </w:pPr>
            <w:r>
              <w:rPr>
                <w:b/>
              </w:rPr>
              <w:t>Instructional Focus:</w:t>
            </w:r>
            <w:r w:rsidR="00AB5F19">
              <w:rPr>
                <w:b/>
              </w:rPr>
              <w:t xml:space="preserve"> </w:t>
            </w:r>
            <w:r w:rsidR="008F0C9D">
              <w:rPr>
                <w:b/>
              </w:rPr>
              <w:t xml:space="preserve"> </w:t>
            </w:r>
            <w:r w:rsidR="008F0C9D">
              <w:t>We</w:t>
            </w:r>
            <w:r w:rsidR="008F0C9D" w:rsidRPr="0081011F">
              <w:t xml:space="preserve"> will infuse opportunities for students to analyze problems with error analysis</w:t>
            </w:r>
            <w:r w:rsidR="000352F6">
              <w:t>.</w:t>
            </w:r>
          </w:p>
          <w:p w14:paraId="10903288" w14:textId="77777777" w:rsidR="00014862" w:rsidRDefault="00014862" w:rsidP="00014862">
            <w:pPr>
              <w:rPr>
                <w:b/>
              </w:rPr>
            </w:pPr>
          </w:p>
          <w:p w14:paraId="06EF5224" w14:textId="77777777" w:rsidR="00014862" w:rsidRDefault="00014862" w:rsidP="00014862">
            <w:pPr>
              <w:rPr>
                <w:b/>
              </w:rPr>
            </w:pPr>
          </w:p>
          <w:p w14:paraId="262EF48A" w14:textId="77777777" w:rsidR="00014862" w:rsidRPr="00F5285F" w:rsidRDefault="00014862" w:rsidP="00014862">
            <w:pPr>
              <w:rPr>
                <w:b/>
              </w:rPr>
            </w:pPr>
          </w:p>
        </w:tc>
        <w:tc>
          <w:tcPr>
            <w:tcW w:w="4642" w:type="dxa"/>
          </w:tcPr>
          <w:p w14:paraId="4210A346" w14:textId="52B2F9EE" w:rsidR="008F0C9D" w:rsidRDefault="00014862" w:rsidP="008F0C9D">
            <w:r>
              <w:rPr>
                <w:b/>
              </w:rPr>
              <w:t>Instructional Focus:</w:t>
            </w:r>
            <w:r w:rsidR="00AB5F19">
              <w:rPr>
                <w:b/>
              </w:rPr>
              <w:t xml:space="preserve"> </w:t>
            </w:r>
            <w:r w:rsidR="008F0C9D">
              <w:rPr>
                <w:b/>
              </w:rPr>
              <w:t xml:space="preserve"> </w:t>
            </w:r>
            <w:r w:rsidR="008F0C9D" w:rsidRPr="008F0C9D">
              <w:t>We</w:t>
            </w:r>
            <w:r w:rsidR="008F0C9D">
              <w:rPr>
                <w:b/>
              </w:rPr>
              <w:t xml:space="preserve"> </w:t>
            </w:r>
            <w:r w:rsidR="008F0C9D" w:rsidRPr="00B56B59">
              <w:t>will infuse customized learning opportunities</w:t>
            </w:r>
            <w:r w:rsidR="008F0C9D">
              <w:t>,</w:t>
            </w:r>
            <w:r w:rsidR="008F0C9D" w:rsidRPr="00B56B59">
              <w:t xml:space="preserve"> increase access to advanced mathematics that mirror expectations as stipulated from standardized national norm</w:t>
            </w:r>
            <w:r w:rsidR="008F0C9D">
              <w:t xml:space="preserve">, and reteach areas in need of refinement. </w:t>
            </w:r>
          </w:p>
          <w:p w14:paraId="72681438" w14:textId="77777777" w:rsidR="00AB5F19" w:rsidRDefault="00AB5F19" w:rsidP="00AB5F19">
            <w:pPr>
              <w:rPr>
                <w:b/>
              </w:rPr>
            </w:pPr>
          </w:p>
          <w:p w14:paraId="1DDC8A21" w14:textId="77777777" w:rsidR="00014862" w:rsidRDefault="00014862" w:rsidP="00014862">
            <w:pPr>
              <w:rPr>
                <w:b/>
              </w:rPr>
            </w:pPr>
          </w:p>
          <w:p w14:paraId="30ABC91D" w14:textId="77777777" w:rsidR="00014862" w:rsidRPr="00F5285F" w:rsidRDefault="00014862" w:rsidP="00014862">
            <w:pPr>
              <w:rPr>
                <w:b/>
              </w:rPr>
            </w:pPr>
          </w:p>
        </w:tc>
      </w:tr>
      <w:tr w:rsidR="00014862" w:rsidRPr="00F5285F" w14:paraId="4100FD63" w14:textId="77777777" w:rsidTr="00536254">
        <w:tc>
          <w:tcPr>
            <w:tcW w:w="9284" w:type="dxa"/>
            <w:gridSpan w:val="2"/>
            <w:shd w:val="clear" w:color="auto" w:fill="D9D9D9" w:themeFill="background1" w:themeFillShade="D9"/>
          </w:tcPr>
          <w:p w14:paraId="7DCD1DE6" w14:textId="77777777" w:rsidR="00014862" w:rsidRPr="00F5285F" w:rsidRDefault="00014862" w:rsidP="00014862">
            <w:pPr>
              <w:jc w:val="center"/>
              <w:rPr>
                <w:b/>
              </w:rPr>
            </w:pPr>
            <w:r w:rsidRPr="003346BE">
              <w:rPr>
                <w:b/>
                <w:sz w:val="24"/>
              </w:rPr>
              <w:t>Climate</w:t>
            </w:r>
          </w:p>
        </w:tc>
      </w:tr>
      <w:tr w:rsidR="00014862" w:rsidRPr="00F5285F" w14:paraId="60FC0C8D" w14:textId="77777777" w:rsidTr="00536254">
        <w:tc>
          <w:tcPr>
            <w:tcW w:w="9284" w:type="dxa"/>
            <w:gridSpan w:val="2"/>
          </w:tcPr>
          <w:p w14:paraId="421C5635" w14:textId="77777777" w:rsidR="00883DFE" w:rsidRDefault="00883DFE" w:rsidP="00883DFE">
            <w:pPr>
              <w:rPr>
                <w:b/>
              </w:rPr>
            </w:pPr>
          </w:p>
          <w:p w14:paraId="05BCEC8D" w14:textId="77777777" w:rsidR="00883DFE" w:rsidRDefault="00883DFE" w:rsidP="00883DFE">
            <w:pPr>
              <w:rPr>
                <w:b/>
              </w:rPr>
            </w:pPr>
          </w:p>
          <w:p w14:paraId="5E058A1E" w14:textId="54240ABE" w:rsidR="00014862" w:rsidRDefault="00014862" w:rsidP="00883DFE">
            <w:pPr>
              <w:rPr>
                <w:b/>
              </w:rPr>
            </w:pPr>
            <w:r w:rsidRPr="00F5285F">
              <w:rPr>
                <w:b/>
              </w:rPr>
              <w:lastRenderedPageBreak/>
              <w:t>Goal:</w:t>
            </w:r>
          </w:p>
          <w:p w14:paraId="159081DC" w14:textId="474236FD" w:rsidR="007B5CC5" w:rsidRDefault="007B5CC5" w:rsidP="007B5CC5">
            <w:pPr>
              <w:jc w:val="center"/>
            </w:pPr>
          </w:p>
          <w:p w14:paraId="4ABE2432" w14:textId="73081FB8" w:rsidR="008F0C9D" w:rsidRDefault="008F0C9D" w:rsidP="008F0C9D">
            <w:r w:rsidRPr="0081011F">
              <w:t xml:space="preserve">All </w:t>
            </w:r>
            <w:r w:rsidR="00ED68F0">
              <w:t>students will receive support to attend school on a consistent basis</w:t>
            </w:r>
            <w:r w:rsidRPr="0081011F">
              <w:t xml:space="preserve"> in order to meet the state standard of a 94% overall attendance rate and graduation rate.</w:t>
            </w:r>
          </w:p>
          <w:p w14:paraId="52445370" w14:textId="3C75FA4D" w:rsidR="008F0C9D" w:rsidRDefault="008F0C9D" w:rsidP="008F0C9D"/>
          <w:p w14:paraId="63D28A0B" w14:textId="77777777" w:rsidR="00014862" w:rsidRPr="00385BCD" w:rsidRDefault="00014862" w:rsidP="00014862">
            <w:pPr>
              <w:jc w:val="center"/>
            </w:pPr>
          </w:p>
          <w:p w14:paraId="1F06BFE2" w14:textId="77777777" w:rsidR="00014862" w:rsidRPr="00F5285F" w:rsidRDefault="00014862" w:rsidP="00014862">
            <w:pPr>
              <w:jc w:val="center"/>
              <w:rPr>
                <w:b/>
              </w:rPr>
            </w:pPr>
          </w:p>
        </w:tc>
      </w:tr>
      <w:tr w:rsidR="00014862" w:rsidRPr="00F5285F" w14:paraId="7EA5B414" w14:textId="77777777" w:rsidTr="00536254">
        <w:tc>
          <w:tcPr>
            <w:tcW w:w="9284" w:type="dxa"/>
            <w:gridSpan w:val="2"/>
          </w:tcPr>
          <w:p w14:paraId="17F757D5" w14:textId="77777777" w:rsidR="008F0C9D" w:rsidRDefault="00014862" w:rsidP="008F0C9D">
            <w:pPr>
              <w:jc w:val="center"/>
              <w:rPr>
                <w:b/>
              </w:rPr>
            </w:pPr>
            <w:r>
              <w:rPr>
                <w:b/>
              </w:rPr>
              <w:lastRenderedPageBreak/>
              <w:t>Focus</w:t>
            </w:r>
            <w:r w:rsidR="00330A8A">
              <w:rPr>
                <w:b/>
              </w:rPr>
              <w:t>:</w:t>
            </w:r>
            <w:r w:rsidR="008F0C9D">
              <w:rPr>
                <w:b/>
              </w:rPr>
              <w:t xml:space="preserve">  </w:t>
            </w:r>
          </w:p>
          <w:p w14:paraId="724D754F" w14:textId="77777777" w:rsidR="008F0C9D" w:rsidRDefault="008F0C9D" w:rsidP="008F0C9D">
            <w:pPr>
              <w:jc w:val="center"/>
              <w:rPr>
                <w:b/>
              </w:rPr>
            </w:pPr>
          </w:p>
          <w:p w14:paraId="6CC555C2" w14:textId="40674A03" w:rsidR="008F0C9D" w:rsidRPr="008F0C9D" w:rsidRDefault="008F0C9D" w:rsidP="00ED68F0">
            <w:pPr>
              <w:rPr>
                <w:b/>
              </w:rPr>
            </w:pPr>
            <w:r w:rsidRPr="008F0C9D">
              <w:t xml:space="preserve">Our students will experience a supportive learning environment.  </w:t>
            </w:r>
            <w:r w:rsidR="00F96828">
              <w:t>During</w:t>
            </w:r>
            <w:r w:rsidRPr="008F0C9D">
              <w:t xml:space="preserve"> school counselor </w:t>
            </w:r>
            <w:r w:rsidR="00F96828">
              <w:t xml:space="preserve">and teacher led </w:t>
            </w:r>
            <w:r w:rsidRPr="008F0C9D">
              <w:t>student groups, we will</w:t>
            </w:r>
            <w:r w:rsidRPr="0081011F">
              <w:t xml:space="preserve"> infuse a reflective opportunity for students to </w:t>
            </w:r>
            <w:r>
              <w:t>discuss academic progress and social belonging through homeroom once a week on Towson Tuesday.</w:t>
            </w:r>
            <w:r w:rsidRPr="0081011F">
              <w:t xml:space="preserve"> </w:t>
            </w:r>
            <w:r>
              <w:t xml:space="preserve"> Within the classroom setting, our s</w:t>
            </w:r>
            <w:r w:rsidRPr="0081011F">
              <w:t xml:space="preserve">tudents will be afforded opportunities of choice </w:t>
            </w:r>
            <w:r>
              <w:t>in process</w:t>
            </w:r>
            <w:r w:rsidR="000352F6">
              <w:t>, content,</w:t>
            </w:r>
            <w:r>
              <w:t xml:space="preserve"> and/or product. </w:t>
            </w:r>
          </w:p>
          <w:p w14:paraId="35A93617" w14:textId="77777777" w:rsidR="00014862" w:rsidRDefault="00014862" w:rsidP="00014862">
            <w:pPr>
              <w:jc w:val="center"/>
              <w:rPr>
                <w:b/>
              </w:rPr>
            </w:pPr>
          </w:p>
          <w:p w14:paraId="378CE360" w14:textId="77777777" w:rsidR="00014862" w:rsidRDefault="00014862" w:rsidP="00014862">
            <w:pPr>
              <w:jc w:val="center"/>
              <w:rPr>
                <w:b/>
              </w:rPr>
            </w:pPr>
          </w:p>
          <w:p w14:paraId="32FBBD9B" w14:textId="77777777" w:rsidR="00014862" w:rsidRPr="00F5285F" w:rsidRDefault="00014862" w:rsidP="00014862">
            <w:pPr>
              <w:jc w:val="center"/>
              <w:rPr>
                <w:b/>
              </w:rPr>
            </w:pPr>
          </w:p>
        </w:tc>
      </w:tr>
    </w:tbl>
    <w:p w14:paraId="35FA5C20" w14:textId="77777777" w:rsidR="00014862" w:rsidRPr="00F5285F" w:rsidRDefault="00014862" w:rsidP="00014862">
      <w:pPr>
        <w:spacing w:after="0" w:line="240" w:lineRule="auto"/>
        <w:rPr>
          <w:b/>
        </w:rPr>
      </w:pPr>
    </w:p>
    <w:p w14:paraId="60AD1103" w14:textId="77777777" w:rsidR="00014862" w:rsidRDefault="00014862"/>
    <w:sectPr w:rsidR="000148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D130" w14:textId="77777777" w:rsidR="00B90820" w:rsidRDefault="00B90820" w:rsidP="00014862">
      <w:pPr>
        <w:spacing w:after="0" w:line="240" w:lineRule="auto"/>
      </w:pPr>
      <w:r>
        <w:separator/>
      </w:r>
    </w:p>
  </w:endnote>
  <w:endnote w:type="continuationSeparator" w:id="0">
    <w:p w14:paraId="489890C6" w14:textId="77777777" w:rsidR="00B90820" w:rsidRDefault="00B90820"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4D67" w14:textId="77777777" w:rsidR="00F96828" w:rsidRDefault="00F96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F939" w14:textId="77777777" w:rsidR="00F96828" w:rsidRDefault="00F96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6D08" w14:textId="77777777" w:rsidR="00F96828" w:rsidRDefault="00F96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73AB0" w14:textId="77777777" w:rsidR="00B90820" w:rsidRDefault="00B90820" w:rsidP="00014862">
      <w:pPr>
        <w:spacing w:after="0" w:line="240" w:lineRule="auto"/>
      </w:pPr>
      <w:r>
        <w:separator/>
      </w:r>
    </w:p>
  </w:footnote>
  <w:footnote w:type="continuationSeparator" w:id="0">
    <w:p w14:paraId="1E19EA66" w14:textId="77777777" w:rsidR="00B90820" w:rsidRDefault="00B90820" w:rsidP="00014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B7D2" w14:textId="77777777" w:rsidR="00F96828" w:rsidRDefault="00F96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539C" w14:textId="6D8CFE82" w:rsidR="00AB5F19" w:rsidRDefault="00AB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E7E2" w14:textId="77777777" w:rsidR="00F96828" w:rsidRDefault="00F96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344F3"/>
    <w:rsid w:val="000352F6"/>
    <w:rsid w:val="000969A7"/>
    <w:rsid w:val="00193A2D"/>
    <w:rsid w:val="002278F4"/>
    <w:rsid w:val="00330A8A"/>
    <w:rsid w:val="006A6ED4"/>
    <w:rsid w:val="007B5CC5"/>
    <w:rsid w:val="00820AE0"/>
    <w:rsid w:val="00883DFE"/>
    <w:rsid w:val="008F0C9D"/>
    <w:rsid w:val="009173A6"/>
    <w:rsid w:val="00A00FB8"/>
    <w:rsid w:val="00AB4674"/>
    <w:rsid w:val="00AB5F19"/>
    <w:rsid w:val="00B471DF"/>
    <w:rsid w:val="00B90820"/>
    <w:rsid w:val="00CA65BE"/>
    <w:rsid w:val="00DC7369"/>
    <w:rsid w:val="00ED68F0"/>
    <w:rsid w:val="00EE32DA"/>
    <w:rsid w:val="00F51B7D"/>
    <w:rsid w:val="00F65ECA"/>
    <w:rsid w:val="00F84A57"/>
    <w:rsid w:val="00F9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0DC1"/>
  <w15:chartTrackingRefBased/>
  <w15:docId w15:val="{C680C7DE-3AC8-4766-91F0-1D14D378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8553EA5BC304FAB1CEED6EA35CAFB" ma:contentTypeVersion="13" ma:contentTypeDescription="Create a new document." ma:contentTypeScope="" ma:versionID="f9fe12e9ee565f2815a1b81f5997b89b">
  <xsd:schema xmlns:xsd="http://www.w3.org/2001/XMLSchema" xmlns:xs="http://www.w3.org/2001/XMLSchema" xmlns:p="http://schemas.microsoft.com/office/2006/metadata/properties" xmlns:ns3="603c774f-3392-483c-ac8a-d71c4ab2315b" xmlns:ns4="0f97a14a-9603-4aa9-80f5-3c8018af6b7f" targetNamespace="http://schemas.microsoft.com/office/2006/metadata/properties" ma:root="true" ma:fieldsID="acd85a64cf389e2a61eeebf3e18dd4ba" ns3:_="" ns4:_="">
    <xsd:import namespace="603c774f-3392-483c-ac8a-d71c4ab2315b"/>
    <xsd:import namespace="0f97a14a-9603-4aa9-80f5-3c8018af6b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c774f-3392-483c-ac8a-d71c4ab231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7a14a-9603-4aa9-80f5-3c8018af6b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A2F29-B623-4306-AA63-31B89FFBA143}">
  <ds:schemaRefs>
    <ds:schemaRef ds:uri="http://schemas.microsoft.com/sharepoint/v3/contenttype/forms"/>
  </ds:schemaRefs>
</ds:datastoreItem>
</file>

<file path=customXml/itemProps2.xml><?xml version="1.0" encoding="utf-8"?>
<ds:datastoreItem xmlns:ds="http://schemas.openxmlformats.org/officeDocument/2006/customXml" ds:itemID="{A9C8105D-30D3-4886-8A54-827FC4B9E410}">
  <ds:schemaRefs>
    <ds:schemaRef ds:uri="http://purl.org/dc/elements/1.1/"/>
    <ds:schemaRef ds:uri="http://schemas.openxmlformats.org/package/2006/metadata/core-properties"/>
    <ds:schemaRef ds:uri="http://purl.org/dc/terms/"/>
    <ds:schemaRef ds:uri="http://schemas.microsoft.com/office/infopath/2007/PartnerControls"/>
    <ds:schemaRef ds:uri="0f97a14a-9603-4aa9-80f5-3c8018af6b7f"/>
    <ds:schemaRef ds:uri="http://schemas.microsoft.com/office/2006/documentManagement/types"/>
    <ds:schemaRef ds:uri="http://schemas.microsoft.com/office/2006/metadata/properties"/>
    <ds:schemaRef ds:uri="603c774f-3392-483c-ac8a-d71c4ab2315b"/>
    <ds:schemaRef ds:uri="http://www.w3.org/XML/1998/namespace"/>
    <ds:schemaRef ds:uri="http://purl.org/dc/dcmitype/"/>
  </ds:schemaRefs>
</ds:datastoreItem>
</file>

<file path=customXml/itemProps3.xml><?xml version="1.0" encoding="utf-8"?>
<ds:datastoreItem xmlns:ds="http://schemas.openxmlformats.org/officeDocument/2006/customXml" ds:itemID="{CCACF036-C7F1-452B-9BAE-09741AB1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c774f-3392-483c-ac8a-d71c4ab2315b"/>
    <ds:schemaRef ds:uri="0f97a14a-9603-4aa9-80f5-3c8018af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Lichter, Jane E.</dc:creator>
  <cp:keywords/>
  <dc:description/>
  <cp:lastModifiedBy>Alford, William C.</cp:lastModifiedBy>
  <cp:revision>2</cp:revision>
  <dcterms:created xsi:type="dcterms:W3CDTF">2019-09-20T17:20:00Z</dcterms:created>
  <dcterms:modified xsi:type="dcterms:W3CDTF">2019-09-20T17:20:00Z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0x010100BC38553EA5BC304FAB1CEED6EA35CAFB</vt:lpwstr>
  </property>
</Properties>
</file>